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D3C" w:rsidRPr="00794D3C" w:rsidRDefault="00794D3C" w:rsidP="00794D3C">
      <w:pPr>
        <w:spacing w:after="0" w:line="240" w:lineRule="auto"/>
        <w:jc w:val="both"/>
        <w:rPr>
          <w:rFonts w:ascii="Times New Roman" w:hAnsi="Times New Roman" w:cs="Times New Roman"/>
          <w:b/>
          <w:sz w:val="32"/>
          <w:szCs w:val="24"/>
          <w:lang w:val="en-US"/>
        </w:rPr>
      </w:pPr>
      <w:r w:rsidRPr="00794D3C">
        <w:rPr>
          <w:rFonts w:ascii="Times New Roman" w:hAnsi="Times New Roman" w:cs="Times New Roman"/>
          <w:b/>
          <w:sz w:val="32"/>
          <w:szCs w:val="24"/>
          <w:lang w:val="en-US"/>
        </w:rPr>
        <w:t>The role of cardiac adipose tissue depots in assessing the risk of paroxysmal atrial fibrillation in patients with coronary heart disease and arterial hypertension</w:t>
      </w:r>
    </w:p>
    <w:p w:rsidR="00794D3C" w:rsidRPr="00794D3C" w:rsidRDefault="00794D3C" w:rsidP="00794D3C">
      <w:pPr>
        <w:spacing w:after="0" w:line="240" w:lineRule="auto"/>
        <w:jc w:val="both"/>
        <w:rPr>
          <w:rFonts w:ascii="Times New Roman" w:hAnsi="Times New Roman" w:cs="Times New Roman"/>
          <w:sz w:val="24"/>
          <w:szCs w:val="24"/>
          <w:lang w:val="en-US"/>
        </w:rPr>
      </w:pPr>
      <w:proofErr w:type="spellStart"/>
      <w:r w:rsidRPr="00794D3C">
        <w:rPr>
          <w:rFonts w:ascii="Times New Roman" w:hAnsi="Times New Roman" w:cs="Times New Roman"/>
          <w:sz w:val="24"/>
          <w:szCs w:val="24"/>
          <w:lang w:val="en-US"/>
        </w:rPr>
        <w:t>Uryasiev</w:t>
      </w:r>
      <w:proofErr w:type="spellEnd"/>
      <w:r w:rsidRPr="00794D3C">
        <w:rPr>
          <w:rFonts w:ascii="Times New Roman" w:hAnsi="Times New Roman" w:cs="Times New Roman"/>
          <w:sz w:val="24"/>
          <w:szCs w:val="24"/>
          <w:lang w:val="en-US"/>
        </w:rPr>
        <w:t xml:space="preserve"> O.M., </w:t>
      </w:r>
      <w:proofErr w:type="spellStart"/>
      <w:r w:rsidRPr="00794D3C">
        <w:rPr>
          <w:rFonts w:ascii="Times New Roman" w:hAnsi="Times New Roman" w:cs="Times New Roman"/>
          <w:sz w:val="24"/>
          <w:szCs w:val="24"/>
          <w:lang w:val="en-US"/>
        </w:rPr>
        <w:t>Solovyova</w:t>
      </w:r>
      <w:proofErr w:type="spellEnd"/>
      <w:r w:rsidRPr="00794D3C">
        <w:rPr>
          <w:rFonts w:ascii="Times New Roman" w:hAnsi="Times New Roman" w:cs="Times New Roman"/>
          <w:sz w:val="24"/>
          <w:szCs w:val="24"/>
          <w:lang w:val="en-US"/>
        </w:rPr>
        <w:t xml:space="preserve"> A.V., </w:t>
      </w:r>
      <w:proofErr w:type="spellStart"/>
      <w:r w:rsidRPr="00794D3C">
        <w:rPr>
          <w:rFonts w:ascii="Times New Roman" w:hAnsi="Times New Roman" w:cs="Times New Roman"/>
          <w:sz w:val="24"/>
          <w:szCs w:val="24"/>
          <w:lang w:val="en-US"/>
        </w:rPr>
        <w:t>Cheskidov</w:t>
      </w:r>
      <w:proofErr w:type="spellEnd"/>
      <w:r w:rsidRPr="00794D3C">
        <w:rPr>
          <w:rFonts w:ascii="Times New Roman" w:hAnsi="Times New Roman" w:cs="Times New Roman"/>
          <w:sz w:val="24"/>
          <w:szCs w:val="24"/>
          <w:lang w:val="en-US"/>
        </w:rPr>
        <w:t xml:space="preserve"> A. V., </w:t>
      </w:r>
      <w:proofErr w:type="spellStart"/>
      <w:r w:rsidRPr="00794D3C">
        <w:rPr>
          <w:rFonts w:ascii="Times New Roman" w:hAnsi="Times New Roman" w:cs="Times New Roman"/>
          <w:sz w:val="24"/>
          <w:szCs w:val="24"/>
          <w:lang w:val="en-US"/>
        </w:rPr>
        <w:t>Vulekh</w:t>
      </w:r>
      <w:proofErr w:type="spellEnd"/>
      <w:r w:rsidRPr="00794D3C">
        <w:rPr>
          <w:rFonts w:ascii="Times New Roman" w:hAnsi="Times New Roman" w:cs="Times New Roman"/>
          <w:sz w:val="24"/>
          <w:szCs w:val="24"/>
          <w:lang w:val="en-US"/>
        </w:rPr>
        <w:t xml:space="preserve"> V.M., </w:t>
      </w:r>
      <w:proofErr w:type="spellStart"/>
      <w:r w:rsidRPr="00794D3C">
        <w:rPr>
          <w:rFonts w:ascii="Times New Roman" w:hAnsi="Times New Roman" w:cs="Times New Roman"/>
          <w:sz w:val="24"/>
          <w:szCs w:val="24"/>
          <w:lang w:val="en-US"/>
        </w:rPr>
        <w:t>Filimonova</w:t>
      </w:r>
      <w:proofErr w:type="spellEnd"/>
      <w:r w:rsidRPr="00794D3C">
        <w:rPr>
          <w:rFonts w:ascii="Times New Roman" w:hAnsi="Times New Roman" w:cs="Times New Roman"/>
          <w:sz w:val="24"/>
          <w:szCs w:val="24"/>
          <w:lang w:val="en-US"/>
        </w:rPr>
        <w:t xml:space="preserve"> A. A.</w:t>
      </w:r>
    </w:p>
    <w:p w:rsidR="00794D3C" w:rsidRPr="00794D3C" w:rsidRDefault="00794D3C" w:rsidP="00794D3C">
      <w:pPr>
        <w:spacing w:after="0" w:line="240" w:lineRule="auto"/>
        <w:jc w:val="both"/>
        <w:rPr>
          <w:rFonts w:ascii="Times New Roman" w:hAnsi="Times New Roman" w:cs="Times New Roman"/>
          <w:sz w:val="24"/>
          <w:szCs w:val="24"/>
          <w:lang w:val="en-US"/>
        </w:rPr>
      </w:pPr>
    </w:p>
    <w:p w:rsidR="00122437" w:rsidRPr="00794D3C" w:rsidRDefault="00794D3C" w:rsidP="00794D3C">
      <w:pPr>
        <w:spacing w:after="0" w:line="240" w:lineRule="auto"/>
        <w:jc w:val="both"/>
        <w:rPr>
          <w:rFonts w:ascii="Times New Roman" w:hAnsi="Times New Roman" w:cs="Times New Roman"/>
          <w:b/>
          <w:sz w:val="24"/>
          <w:szCs w:val="24"/>
          <w:lang w:val="en-US"/>
        </w:rPr>
      </w:pPr>
      <w:r w:rsidRPr="00794D3C">
        <w:rPr>
          <w:rFonts w:ascii="Times New Roman" w:hAnsi="Times New Roman" w:cs="Times New Roman"/>
          <w:b/>
          <w:sz w:val="24"/>
          <w:szCs w:val="24"/>
          <w:lang w:val="en-US"/>
        </w:rPr>
        <w:t xml:space="preserve">ABSTRACT </w:t>
      </w:r>
    </w:p>
    <w:p w:rsidR="00794D3C" w:rsidRPr="00794D3C" w:rsidRDefault="00794D3C" w:rsidP="00794D3C">
      <w:pPr>
        <w:spacing w:after="0" w:line="240" w:lineRule="auto"/>
        <w:jc w:val="both"/>
        <w:rPr>
          <w:rFonts w:ascii="Times New Roman" w:hAnsi="Times New Roman" w:cs="Times New Roman"/>
          <w:sz w:val="24"/>
          <w:szCs w:val="24"/>
          <w:lang w:val="en-US"/>
        </w:rPr>
      </w:pPr>
    </w:p>
    <w:p w:rsidR="00794D3C" w:rsidRPr="00794D3C" w:rsidRDefault="00794D3C" w:rsidP="00794D3C">
      <w:pPr>
        <w:spacing w:after="0" w:line="240" w:lineRule="auto"/>
        <w:jc w:val="both"/>
        <w:rPr>
          <w:rFonts w:ascii="Times New Roman" w:hAnsi="Times New Roman" w:cs="Times New Roman"/>
          <w:sz w:val="24"/>
          <w:szCs w:val="24"/>
          <w:lang w:val="en-US"/>
        </w:rPr>
      </w:pPr>
      <w:r w:rsidRPr="00794D3C">
        <w:rPr>
          <w:rFonts w:ascii="Times New Roman" w:hAnsi="Times New Roman" w:cs="Times New Roman"/>
          <w:sz w:val="24"/>
          <w:szCs w:val="24"/>
          <w:lang w:val="en-US"/>
        </w:rPr>
        <w:t xml:space="preserve">The aim of the study was to investigate the influence of the severity of local cardiac depots of adipose tissue on the development of paroxysmal atrial fibrillation (AF) in patients with coronary heart disease (CHD) and arterial hypertension (AH). </w:t>
      </w:r>
    </w:p>
    <w:p w:rsidR="00794D3C" w:rsidRPr="00794D3C" w:rsidRDefault="00794D3C" w:rsidP="00794D3C">
      <w:pPr>
        <w:spacing w:after="0" w:line="240" w:lineRule="auto"/>
        <w:jc w:val="both"/>
        <w:rPr>
          <w:rFonts w:ascii="Times New Roman" w:hAnsi="Times New Roman" w:cs="Times New Roman"/>
          <w:sz w:val="24"/>
          <w:szCs w:val="24"/>
        </w:rPr>
      </w:pPr>
      <w:r w:rsidRPr="00794D3C">
        <w:rPr>
          <w:rFonts w:ascii="Times New Roman" w:hAnsi="Times New Roman" w:cs="Times New Roman"/>
          <w:sz w:val="24"/>
          <w:szCs w:val="24"/>
          <w:lang w:val="en-US"/>
        </w:rPr>
        <w:t>Materials and Methods. The study included 82 patients (49 men and 33 women) with CHD</w:t>
      </w:r>
      <w:proofErr w:type="gramStart"/>
      <w:r w:rsidRPr="00794D3C">
        <w:rPr>
          <w:rFonts w:ascii="Times New Roman" w:hAnsi="Times New Roman" w:cs="Times New Roman"/>
          <w:sz w:val="24"/>
          <w:szCs w:val="24"/>
          <w:lang w:val="en-US"/>
        </w:rPr>
        <w:t>  aged</w:t>
      </w:r>
      <w:proofErr w:type="gramEnd"/>
      <w:r w:rsidRPr="00794D3C">
        <w:rPr>
          <w:rFonts w:ascii="Times New Roman" w:hAnsi="Times New Roman" w:cs="Times New Roman"/>
          <w:sz w:val="24"/>
          <w:szCs w:val="24"/>
          <w:lang w:val="en-US"/>
        </w:rPr>
        <w:t xml:space="preserve"> 37–88 years (mean age— 62 [60; 75] years). Paroxysmal form of AF </w:t>
      </w:r>
      <w:proofErr w:type="gramStart"/>
      <w:r w:rsidRPr="00794D3C">
        <w:rPr>
          <w:rFonts w:ascii="Times New Roman" w:hAnsi="Times New Roman" w:cs="Times New Roman"/>
          <w:sz w:val="24"/>
          <w:szCs w:val="24"/>
          <w:lang w:val="en-US"/>
        </w:rPr>
        <w:t>was diagnosed</w:t>
      </w:r>
      <w:proofErr w:type="gramEnd"/>
      <w:r w:rsidRPr="00794D3C">
        <w:rPr>
          <w:rFonts w:ascii="Times New Roman" w:hAnsi="Times New Roman" w:cs="Times New Roman"/>
          <w:sz w:val="24"/>
          <w:szCs w:val="24"/>
          <w:lang w:val="en-US"/>
        </w:rPr>
        <w:t xml:space="preserve"> in 27 patients who constituted the main group. All patients had anthropometric parameters measured: body mass index, waist circumference, hip circumference. Structural and functional state of myocardium </w:t>
      </w:r>
      <w:proofErr w:type="gramStart"/>
      <w:r w:rsidRPr="00794D3C">
        <w:rPr>
          <w:rFonts w:ascii="Times New Roman" w:hAnsi="Times New Roman" w:cs="Times New Roman"/>
          <w:sz w:val="24"/>
          <w:szCs w:val="24"/>
          <w:lang w:val="en-US"/>
        </w:rPr>
        <w:t>was assessed</w:t>
      </w:r>
      <w:proofErr w:type="gramEnd"/>
      <w:r w:rsidRPr="00794D3C">
        <w:rPr>
          <w:rFonts w:ascii="Times New Roman" w:hAnsi="Times New Roman" w:cs="Times New Roman"/>
          <w:sz w:val="24"/>
          <w:szCs w:val="24"/>
          <w:lang w:val="en-US"/>
        </w:rPr>
        <w:t xml:space="preserve"> by echocardiography (</w:t>
      </w:r>
      <w:proofErr w:type="spellStart"/>
      <w:r w:rsidRPr="00794D3C">
        <w:rPr>
          <w:rFonts w:ascii="Times New Roman" w:hAnsi="Times New Roman" w:cs="Times New Roman"/>
          <w:sz w:val="24"/>
          <w:szCs w:val="24"/>
          <w:lang w:val="en-US"/>
        </w:rPr>
        <w:t>EchoCG</w:t>
      </w:r>
      <w:proofErr w:type="spellEnd"/>
      <w:r w:rsidRPr="00794D3C">
        <w:rPr>
          <w:rFonts w:ascii="Times New Roman" w:hAnsi="Times New Roman" w:cs="Times New Roman"/>
          <w:sz w:val="24"/>
          <w:szCs w:val="24"/>
          <w:lang w:val="en-US"/>
        </w:rPr>
        <w:t xml:space="preserve">). Statistical data processing </w:t>
      </w:r>
      <w:proofErr w:type="gramStart"/>
      <w:r w:rsidRPr="00794D3C">
        <w:rPr>
          <w:rFonts w:ascii="Times New Roman" w:hAnsi="Times New Roman" w:cs="Times New Roman"/>
          <w:sz w:val="24"/>
          <w:szCs w:val="24"/>
          <w:lang w:val="en-US"/>
        </w:rPr>
        <w:t>was performed</w:t>
      </w:r>
      <w:proofErr w:type="gramEnd"/>
      <w:r w:rsidRPr="00794D3C">
        <w:rPr>
          <w:rFonts w:ascii="Times New Roman" w:hAnsi="Times New Roman" w:cs="Times New Roman"/>
          <w:sz w:val="24"/>
          <w:szCs w:val="24"/>
          <w:lang w:val="en-US"/>
        </w:rPr>
        <w:t xml:space="preserve"> using </w:t>
      </w:r>
      <w:proofErr w:type="spellStart"/>
      <w:r w:rsidRPr="00794D3C">
        <w:rPr>
          <w:rFonts w:ascii="Times New Roman" w:hAnsi="Times New Roman" w:cs="Times New Roman"/>
          <w:sz w:val="24"/>
          <w:szCs w:val="24"/>
          <w:lang w:val="en-US"/>
        </w:rPr>
        <w:t>MedCalc</w:t>
      </w:r>
      <w:proofErr w:type="spellEnd"/>
      <w:r w:rsidRPr="00794D3C">
        <w:rPr>
          <w:rFonts w:ascii="Times New Roman" w:hAnsi="Times New Roman" w:cs="Times New Roman"/>
          <w:sz w:val="24"/>
          <w:szCs w:val="24"/>
          <w:lang w:val="en-US"/>
        </w:rPr>
        <w:t>® Statistical Software version 20.104 (</w:t>
      </w:r>
      <w:proofErr w:type="spellStart"/>
      <w:r w:rsidRPr="00794D3C">
        <w:rPr>
          <w:rFonts w:ascii="Times New Roman" w:hAnsi="Times New Roman" w:cs="Times New Roman"/>
          <w:sz w:val="24"/>
          <w:szCs w:val="24"/>
          <w:lang w:val="en-US"/>
        </w:rPr>
        <w:t>MedCalc</w:t>
      </w:r>
      <w:proofErr w:type="spellEnd"/>
      <w:r w:rsidRPr="00794D3C">
        <w:rPr>
          <w:rFonts w:ascii="Times New Roman" w:hAnsi="Times New Roman" w:cs="Times New Roman"/>
          <w:sz w:val="24"/>
          <w:szCs w:val="24"/>
          <w:lang w:val="en-US"/>
        </w:rPr>
        <w:t xml:space="preserve"> Software Ltd, Ostend, Belgium). The nature of the data distribution </w:t>
      </w:r>
      <w:proofErr w:type="gramStart"/>
      <w:r w:rsidRPr="00794D3C">
        <w:rPr>
          <w:rFonts w:ascii="Times New Roman" w:hAnsi="Times New Roman" w:cs="Times New Roman"/>
          <w:sz w:val="24"/>
          <w:szCs w:val="24"/>
          <w:lang w:val="en-US"/>
        </w:rPr>
        <w:t>was assessed</w:t>
      </w:r>
      <w:proofErr w:type="gramEnd"/>
      <w:r w:rsidRPr="00794D3C">
        <w:rPr>
          <w:rFonts w:ascii="Times New Roman" w:hAnsi="Times New Roman" w:cs="Times New Roman"/>
          <w:sz w:val="24"/>
          <w:szCs w:val="24"/>
          <w:lang w:val="en-US"/>
        </w:rPr>
        <w:t xml:space="preserve"> using the </w:t>
      </w:r>
      <w:proofErr w:type="spellStart"/>
      <w:r w:rsidRPr="00794D3C">
        <w:rPr>
          <w:rFonts w:ascii="Times New Roman" w:hAnsi="Times New Roman" w:cs="Times New Roman"/>
          <w:sz w:val="24"/>
          <w:szCs w:val="24"/>
          <w:lang w:val="en-US"/>
        </w:rPr>
        <w:t>KolmogorovSmirnov</w:t>
      </w:r>
      <w:proofErr w:type="spellEnd"/>
      <w:r w:rsidRPr="00794D3C">
        <w:rPr>
          <w:rFonts w:ascii="Times New Roman" w:hAnsi="Times New Roman" w:cs="Times New Roman"/>
          <w:sz w:val="24"/>
          <w:szCs w:val="24"/>
          <w:lang w:val="en-US"/>
        </w:rPr>
        <w:t xml:space="preserve"> criterion. In case of normal distribution, data </w:t>
      </w:r>
      <w:proofErr w:type="gramStart"/>
      <w:r w:rsidRPr="00794D3C">
        <w:rPr>
          <w:rFonts w:ascii="Times New Roman" w:hAnsi="Times New Roman" w:cs="Times New Roman"/>
          <w:sz w:val="24"/>
          <w:szCs w:val="24"/>
          <w:lang w:val="en-US"/>
        </w:rPr>
        <w:t>were presented</w:t>
      </w:r>
      <w:proofErr w:type="gramEnd"/>
      <w:r w:rsidRPr="00794D3C">
        <w:rPr>
          <w:rFonts w:ascii="Times New Roman" w:hAnsi="Times New Roman" w:cs="Times New Roman"/>
          <w:sz w:val="24"/>
          <w:szCs w:val="24"/>
          <w:lang w:val="en-US"/>
        </w:rPr>
        <w:t xml:space="preserve"> as mean (M) and standard deviation (SD). Nonparametric indicators </w:t>
      </w:r>
      <w:proofErr w:type="gramStart"/>
      <w:r w:rsidRPr="00794D3C">
        <w:rPr>
          <w:rFonts w:ascii="Times New Roman" w:hAnsi="Times New Roman" w:cs="Times New Roman"/>
          <w:sz w:val="24"/>
          <w:szCs w:val="24"/>
          <w:lang w:val="en-US"/>
        </w:rPr>
        <w:t>were represented</w:t>
      </w:r>
      <w:proofErr w:type="gramEnd"/>
      <w:r w:rsidRPr="00794D3C">
        <w:rPr>
          <w:rFonts w:ascii="Times New Roman" w:hAnsi="Times New Roman" w:cs="Times New Roman"/>
          <w:sz w:val="24"/>
          <w:szCs w:val="24"/>
          <w:lang w:val="en-US"/>
        </w:rPr>
        <w:t xml:space="preserve"> as median and interquartile range (Me [Q25; Q75]). The correlation between the two quantitative characteristics was assessed using Spearman correlation analysis (r). ROC analysis </w:t>
      </w:r>
      <w:proofErr w:type="gramStart"/>
      <w:r w:rsidRPr="00794D3C">
        <w:rPr>
          <w:rFonts w:ascii="Times New Roman" w:hAnsi="Times New Roman" w:cs="Times New Roman"/>
          <w:sz w:val="24"/>
          <w:szCs w:val="24"/>
          <w:lang w:val="en-US"/>
        </w:rPr>
        <w:t>was performed</w:t>
      </w:r>
      <w:proofErr w:type="gramEnd"/>
      <w:r w:rsidRPr="00794D3C">
        <w:rPr>
          <w:rFonts w:ascii="Times New Roman" w:hAnsi="Times New Roman" w:cs="Times New Roman"/>
          <w:sz w:val="24"/>
          <w:szCs w:val="24"/>
          <w:lang w:val="en-US"/>
        </w:rPr>
        <w:t xml:space="preserve"> to determine the threshold value of the studied attribute. Binary logistic regression method </w:t>
      </w:r>
      <w:proofErr w:type="gramStart"/>
      <w:r w:rsidRPr="00794D3C">
        <w:rPr>
          <w:rFonts w:ascii="Times New Roman" w:hAnsi="Times New Roman" w:cs="Times New Roman"/>
          <w:sz w:val="24"/>
          <w:szCs w:val="24"/>
          <w:lang w:val="en-US"/>
        </w:rPr>
        <w:t>was used</w:t>
      </w:r>
      <w:proofErr w:type="gramEnd"/>
      <w:r w:rsidRPr="00794D3C">
        <w:rPr>
          <w:rFonts w:ascii="Times New Roman" w:hAnsi="Times New Roman" w:cs="Times New Roman"/>
          <w:sz w:val="24"/>
          <w:szCs w:val="24"/>
          <w:lang w:val="en-US"/>
        </w:rPr>
        <w:t xml:space="preserve"> to assess the possibility to predict the risk of AF development. </w:t>
      </w:r>
      <w:proofErr w:type="spellStart"/>
      <w:r w:rsidRPr="00794D3C">
        <w:rPr>
          <w:rFonts w:ascii="Times New Roman" w:hAnsi="Times New Roman" w:cs="Times New Roman"/>
          <w:sz w:val="24"/>
          <w:szCs w:val="24"/>
        </w:rPr>
        <w:t>Differences</w:t>
      </w:r>
      <w:proofErr w:type="spellEnd"/>
      <w:r w:rsidRPr="00794D3C">
        <w:rPr>
          <w:rFonts w:ascii="Times New Roman" w:hAnsi="Times New Roman" w:cs="Times New Roman"/>
          <w:sz w:val="24"/>
          <w:szCs w:val="24"/>
        </w:rPr>
        <w:t xml:space="preserve"> </w:t>
      </w:r>
      <w:proofErr w:type="spellStart"/>
      <w:r w:rsidRPr="00794D3C">
        <w:rPr>
          <w:rFonts w:ascii="Times New Roman" w:hAnsi="Times New Roman" w:cs="Times New Roman"/>
          <w:sz w:val="24"/>
          <w:szCs w:val="24"/>
        </w:rPr>
        <w:t>were</w:t>
      </w:r>
      <w:proofErr w:type="spellEnd"/>
      <w:r w:rsidRPr="00794D3C">
        <w:rPr>
          <w:rFonts w:ascii="Times New Roman" w:hAnsi="Times New Roman" w:cs="Times New Roman"/>
          <w:sz w:val="24"/>
          <w:szCs w:val="24"/>
        </w:rPr>
        <w:t xml:space="preserve"> </w:t>
      </w:r>
      <w:proofErr w:type="spellStart"/>
      <w:r w:rsidRPr="00794D3C">
        <w:rPr>
          <w:rFonts w:ascii="Times New Roman" w:hAnsi="Times New Roman" w:cs="Times New Roman"/>
          <w:sz w:val="24"/>
          <w:szCs w:val="24"/>
        </w:rPr>
        <w:t>considered</w:t>
      </w:r>
      <w:proofErr w:type="spellEnd"/>
      <w:r w:rsidRPr="00794D3C">
        <w:rPr>
          <w:rFonts w:ascii="Times New Roman" w:hAnsi="Times New Roman" w:cs="Times New Roman"/>
          <w:sz w:val="24"/>
          <w:szCs w:val="24"/>
        </w:rPr>
        <w:t xml:space="preserve"> </w:t>
      </w:r>
      <w:proofErr w:type="spellStart"/>
      <w:r w:rsidRPr="00794D3C">
        <w:rPr>
          <w:rFonts w:ascii="Times New Roman" w:hAnsi="Times New Roman" w:cs="Times New Roman"/>
          <w:sz w:val="24"/>
          <w:szCs w:val="24"/>
        </w:rPr>
        <w:t>statistically</w:t>
      </w:r>
      <w:proofErr w:type="spellEnd"/>
      <w:r w:rsidRPr="00794D3C">
        <w:rPr>
          <w:rFonts w:ascii="Times New Roman" w:hAnsi="Times New Roman" w:cs="Times New Roman"/>
          <w:sz w:val="24"/>
          <w:szCs w:val="24"/>
        </w:rPr>
        <w:t xml:space="preserve"> </w:t>
      </w:r>
      <w:proofErr w:type="spellStart"/>
      <w:r w:rsidRPr="00794D3C">
        <w:rPr>
          <w:rFonts w:ascii="Times New Roman" w:hAnsi="Times New Roman" w:cs="Times New Roman"/>
          <w:sz w:val="24"/>
          <w:szCs w:val="24"/>
        </w:rPr>
        <w:t>significant</w:t>
      </w:r>
      <w:proofErr w:type="spellEnd"/>
      <w:r w:rsidRPr="00794D3C">
        <w:rPr>
          <w:rFonts w:ascii="Times New Roman" w:hAnsi="Times New Roman" w:cs="Times New Roman"/>
          <w:sz w:val="24"/>
          <w:szCs w:val="24"/>
        </w:rPr>
        <w:t xml:space="preserve"> </w:t>
      </w:r>
      <w:proofErr w:type="spellStart"/>
      <w:r w:rsidRPr="00794D3C">
        <w:rPr>
          <w:rFonts w:ascii="Times New Roman" w:hAnsi="Times New Roman" w:cs="Times New Roman"/>
          <w:sz w:val="24"/>
          <w:szCs w:val="24"/>
        </w:rPr>
        <w:t>at</w:t>
      </w:r>
      <w:proofErr w:type="spellEnd"/>
      <w:r w:rsidRPr="00794D3C">
        <w:rPr>
          <w:rFonts w:ascii="Times New Roman" w:hAnsi="Times New Roman" w:cs="Times New Roman"/>
          <w:sz w:val="24"/>
          <w:szCs w:val="24"/>
        </w:rPr>
        <w:t xml:space="preserve"> </w:t>
      </w:r>
      <w:proofErr w:type="gramStart"/>
      <w:r w:rsidRPr="00794D3C">
        <w:rPr>
          <w:rFonts w:ascii="Times New Roman" w:hAnsi="Times New Roman" w:cs="Times New Roman"/>
          <w:sz w:val="24"/>
          <w:szCs w:val="24"/>
        </w:rPr>
        <w:t>p&lt;</w:t>
      </w:r>
      <w:proofErr w:type="gramEnd"/>
      <w:r w:rsidRPr="00794D3C">
        <w:rPr>
          <w:rFonts w:ascii="Times New Roman" w:hAnsi="Times New Roman" w:cs="Times New Roman"/>
          <w:sz w:val="24"/>
          <w:szCs w:val="24"/>
        </w:rPr>
        <w:t>0.05.</w:t>
      </w:r>
    </w:p>
    <w:p w:rsidR="00794D3C" w:rsidRPr="00794D3C" w:rsidRDefault="00794D3C" w:rsidP="00794D3C">
      <w:pPr>
        <w:spacing w:after="0" w:line="240" w:lineRule="auto"/>
        <w:jc w:val="both"/>
        <w:rPr>
          <w:rFonts w:ascii="Times New Roman" w:hAnsi="Times New Roman" w:cs="Times New Roman"/>
          <w:sz w:val="24"/>
          <w:szCs w:val="24"/>
          <w:lang w:val="en-US"/>
        </w:rPr>
      </w:pPr>
      <w:r w:rsidRPr="00794D3C">
        <w:rPr>
          <w:rFonts w:ascii="Times New Roman" w:hAnsi="Times New Roman" w:cs="Times New Roman"/>
          <w:sz w:val="24"/>
          <w:szCs w:val="24"/>
          <w:lang w:val="en-US"/>
        </w:rPr>
        <w:t xml:space="preserve">Results. There was a correlation between interatrial septal thickness (IST) and waist circumference (WC) (r = 0.5; p = 0.0003), hip circumference (HC) (r = 0.6; p &lt; 0.0001), and </w:t>
      </w:r>
      <w:proofErr w:type="spellStart"/>
      <w:r w:rsidRPr="00794D3C">
        <w:rPr>
          <w:rFonts w:ascii="Times New Roman" w:hAnsi="Times New Roman" w:cs="Times New Roman"/>
          <w:sz w:val="24"/>
          <w:szCs w:val="24"/>
          <w:lang w:val="en-US"/>
        </w:rPr>
        <w:t>epicardial</w:t>
      </w:r>
      <w:proofErr w:type="spellEnd"/>
      <w:r w:rsidRPr="00794D3C">
        <w:rPr>
          <w:rFonts w:ascii="Times New Roman" w:hAnsi="Times New Roman" w:cs="Times New Roman"/>
          <w:sz w:val="24"/>
          <w:szCs w:val="24"/>
          <w:lang w:val="en-US"/>
        </w:rPr>
        <w:t xml:space="preserve"> fat thickness (EF) (r = 0.7; p &lt; 0.0001). ROC analysis showed that IST &gt; 0.7 cm (p 0.6 cm (p &lt; 0.001) were indicative of paroxysmal AF. </w:t>
      </w:r>
      <w:proofErr w:type="gramStart"/>
      <w:r w:rsidRPr="00794D3C">
        <w:rPr>
          <w:rFonts w:ascii="Times New Roman" w:hAnsi="Times New Roman" w:cs="Times New Roman"/>
          <w:sz w:val="24"/>
          <w:szCs w:val="24"/>
          <w:lang w:val="en-US"/>
        </w:rPr>
        <w:t>Determination of threshold values of IST and EF thickness separately among men and women with the regard to the presence/absence of abdominal obesity (AO) showed that in men without AO, IST thickness &gt; 0.5 cm and EF thickness &gt; 0.7 cm, as well as IST &gt; 0.7 cm in men with AO had a high diagnostic value for determining the probability of AF development.</w:t>
      </w:r>
      <w:proofErr w:type="gramEnd"/>
    </w:p>
    <w:p w:rsidR="00794D3C" w:rsidRDefault="00794D3C" w:rsidP="00794D3C">
      <w:pPr>
        <w:spacing w:after="0" w:line="240" w:lineRule="auto"/>
        <w:jc w:val="both"/>
        <w:rPr>
          <w:rFonts w:ascii="Times New Roman" w:hAnsi="Times New Roman" w:cs="Times New Roman"/>
          <w:sz w:val="24"/>
          <w:szCs w:val="24"/>
          <w:lang w:val="en-US"/>
        </w:rPr>
      </w:pPr>
      <w:r w:rsidRPr="00794D3C">
        <w:rPr>
          <w:rFonts w:ascii="Times New Roman" w:hAnsi="Times New Roman" w:cs="Times New Roman"/>
          <w:sz w:val="24"/>
          <w:szCs w:val="24"/>
          <w:lang w:val="en-US"/>
        </w:rPr>
        <w:t xml:space="preserve">Conclusion. </w:t>
      </w:r>
      <w:proofErr w:type="spellStart"/>
      <w:r w:rsidRPr="00794D3C">
        <w:rPr>
          <w:rFonts w:ascii="Times New Roman" w:hAnsi="Times New Roman" w:cs="Times New Roman"/>
          <w:sz w:val="24"/>
          <w:szCs w:val="24"/>
          <w:lang w:val="en-US"/>
        </w:rPr>
        <w:t>Epicardial</w:t>
      </w:r>
      <w:proofErr w:type="spellEnd"/>
      <w:r w:rsidRPr="00794D3C">
        <w:rPr>
          <w:rFonts w:ascii="Times New Roman" w:hAnsi="Times New Roman" w:cs="Times New Roman"/>
          <w:sz w:val="24"/>
          <w:szCs w:val="24"/>
          <w:lang w:val="en-US"/>
        </w:rPr>
        <w:t xml:space="preserve"> adipose tissue thickness &gt; 0.6 cm (p &lt; 0.001) and IST &gt; 0.6 cm (p &lt; 0.001) may serve as markers of AF in patients with CHD, and determination of EF thickness and IST together with WC measurement may serve as prognostic criteria of AF risk in men with CHD (model significance p = 0.0062). Thus, the assessment of IST and EF thickness in patients with CHD </w:t>
      </w:r>
      <w:proofErr w:type="gramStart"/>
      <w:r w:rsidRPr="00794D3C">
        <w:rPr>
          <w:rFonts w:ascii="Times New Roman" w:hAnsi="Times New Roman" w:cs="Times New Roman"/>
          <w:sz w:val="24"/>
          <w:szCs w:val="24"/>
          <w:lang w:val="en-US"/>
        </w:rPr>
        <w:t>can be recommended</w:t>
      </w:r>
      <w:proofErr w:type="gramEnd"/>
      <w:r w:rsidRPr="00794D3C">
        <w:rPr>
          <w:rFonts w:ascii="Times New Roman" w:hAnsi="Times New Roman" w:cs="Times New Roman"/>
          <w:sz w:val="24"/>
          <w:szCs w:val="24"/>
          <w:lang w:val="en-US"/>
        </w:rPr>
        <w:t xml:space="preserve"> for determination during </w:t>
      </w:r>
      <w:proofErr w:type="spellStart"/>
      <w:r w:rsidRPr="00794D3C">
        <w:rPr>
          <w:rFonts w:ascii="Times New Roman" w:hAnsi="Times New Roman" w:cs="Times New Roman"/>
          <w:sz w:val="24"/>
          <w:szCs w:val="24"/>
          <w:lang w:val="en-US"/>
        </w:rPr>
        <w:t>EchoCG</w:t>
      </w:r>
      <w:proofErr w:type="spellEnd"/>
      <w:r w:rsidRPr="00794D3C">
        <w:rPr>
          <w:rFonts w:ascii="Times New Roman" w:hAnsi="Times New Roman" w:cs="Times New Roman"/>
          <w:sz w:val="24"/>
          <w:szCs w:val="24"/>
          <w:lang w:val="en-US"/>
        </w:rPr>
        <w:t>.</w:t>
      </w:r>
    </w:p>
    <w:p w:rsidR="00794D3C" w:rsidRPr="00794D3C" w:rsidRDefault="00794D3C" w:rsidP="00794D3C">
      <w:pPr>
        <w:spacing w:after="0" w:line="240" w:lineRule="auto"/>
        <w:jc w:val="both"/>
        <w:rPr>
          <w:rFonts w:ascii="Times New Roman" w:hAnsi="Times New Roman" w:cs="Times New Roman"/>
          <w:sz w:val="24"/>
          <w:szCs w:val="24"/>
          <w:lang w:val="en-US"/>
        </w:rPr>
      </w:pPr>
    </w:p>
    <w:p w:rsidR="00794D3C" w:rsidRDefault="00794D3C" w:rsidP="00794D3C">
      <w:pPr>
        <w:spacing w:after="0" w:line="240" w:lineRule="auto"/>
        <w:jc w:val="both"/>
        <w:rPr>
          <w:rFonts w:ascii="Times New Roman" w:hAnsi="Times New Roman" w:cs="Times New Roman"/>
          <w:sz w:val="24"/>
          <w:szCs w:val="24"/>
          <w:lang w:val="en-US"/>
        </w:rPr>
      </w:pPr>
      <w:r w:rsidRPr="00794D3C">
        <w:rPr>
          <w:rFonts w:ascii="Times New Roman" w:hAnsi="Times New Roman" w:cs="Times New Roman"/>
          <w:b/>
          <w:sz w:val="24"/>
          <w:szCs w:val="24"/>
          <w:lang w:val="en-US"/>
        </w:rPr>
        <w:t>Keywords:</w:t>
      </w:r>
      <w:r w:rsidRPr="00794D3C">
        <w:rPr>
          <w:rFonts w:ascii="Times New Roman" w:hAnsi="Times New Roman" w:cs="Times New Roman"/>
          <w:sz w:val="24"/>
          <w:szCs w:val="24"/>
          <w:lang w:val="en-US"/>
        </w:rPr>
        <w:t xml:space="preserve"> obesity, atrial fibrillation, </w:t>
      </w:r>
      <w:proofErr w:type="spellStart"/>
      <w:r w:rsidRPr="00794D3C">
        <w:rPr>
          <w:rFonts w:ascii="Times New Roman" w:hAnsi="Times New Roman" w:cs="Times New Roman"/>
          <w:sz w:val="24"/>
          <w:szCs w:val="24"/>
          <w:lang w:val="en-US"/>
        </w:rPr>
        <w:t>epicardial</w:t>
      </w:r>
      <w:proofErr w:type="spellEnd"/>
      <w:r w:rsidRPr="00794D3C">
        <w:rPr>
          <w:rFonts w:ascii="Times New Roman" w:hAnsi="Times New Roman" w:cs="Times New Roman"/>
          <w:sz w:val="24"/>
          <w:szCs w:val="24"/>
          <w:lang w:val="en-US"/>
        </w:rPr>
        <w:t xml:space="preserve"> adipose tissue, interatrial septal lipomatosis, predictors.</w:t>
      </w:r>
    </w:p>
    <w:p w:rsidR="00794D3C" w:rsidRPr="00794D3C" w:rsidRDefault="00794D3C" w:rsidP="00794D3C">
      <w:pPr>
        <w:spacing w:after="0" w:line="240" w:lineRule="auto"/>
        <w:jc w:val="both"/>
        <w:rPr>
          <w:rFonts w:ascii="Times New Roman" w:hAnsi="Times New Roman" w:cs="Times New Roman"/>
          <w:sz w:val="24"/>
          <w:szCs w:val="24"/>
          <w:lang w:val="en-US"/>
        </w:rPr>
      </w:pPr>
    </w:p>
    <w:p w:rsidR="00794D3C" w:rsidRPr="00794D3C" w:rsidRDefault="00794D3C" w:rsidP="00794D3C">
      <w:pPr>
        <w:spacing w:after="0" w:line="240" w:lineRule="auto"/>
        <w:jc w:val="both"/>
        <w:rPr>
          <w:rFonts w:ascii="Times New Roman" w:hAnsi="Times New Roman" w:cs="Times New Roman"/>
          <w:b/>
          <w:sz w:val="24"/>
          <w:szCs w:val="24"/>
          <w:lang w:val="en-US"/>
        </w:rPr>
      </w:pPr>
      <w:r w:rsidRPr="00794D3C">
        <w:rPr>
          <w:rFonts w:ascii="Times New Roman" w:hAnsi="Times New Roman" w:cs="Times New Roman"/>
          <w:b/>
          <w:sz w:val="24"/>
          <w:szCs w:val="24"/>
          <w:lang w:val="en-US"/>
        </w:rPr>
        <w:t xml:space="preserve">For citation: </w:t>
      </w:r>
    </w:p>
    <w:p w:rsidR="00794D3C" w:rsidRPr="00794D3C" w:rsidRDefault="00794D3C" w:rsidP="00794D3C">
      <w:pPr>
        <w:spacing w:after="0" w:line="240" w:lineRule="auto"/>
        <w:jc w:val="both"/>
        <w:rPr>
          <w:rFonts w:ascii="Times New Roman" w:hAnsi="Times New Roman" w:cs="Times New Roman"/>
          <w:sz w:val="24"/>
          <w:szCs w:val="24"/>
          <w:lang w:val="en-US"/>
        </w:rPr>
      </w:pPr>
      <w:proofErr w:type="spellStart"/>
      <w:r w:rsidRPr="00794D3C">
        <w:rPr>
          <w:rFonts w:ascii="Times New Roman" w:hAnsi="Times New Roman" w:cs="Times New Roman"/>
          <w:sz w:val="24"/>
          <w:szCs w:val="24"/>
          <w:lang w:val="en-US"/>
        </w:rPr>
        <w:t>Uryasiev</w:t>
      </w:r>
      <w:proofErr w:type="spellEnd"/>
      <w:r w:rsidRPr="00794D3C">
        <w:rPr>
          <w:rFonts w:ascii="Times New Roman" w:hAnsi="Times New Roman" w:cs="Times New Roman"/>
          <w:sz w:val="24"/>
          <w:szCs w:val="24"/>
          <w:lang w:val="en-US"/>
        </w:rPr>
        <w:t xml:space="preserve"> O.M., </w:t>
      </w:r>
      <w:proofErr w:type="spellStart"/>
      <w:r w:rsidRPr="00794D3C">
        <w:rPr>
          <w:rFonts w:ascii="Times New Roman" w:hAnsi="Times New Roman" w:cs="Times New Roman"/>
          <w:sz w:val="24"/>
          <w:szCs w:val="24"/>
          <w:lang w:val="en-US"/>
        </w:rPr>
        <w:t>Solovyova</w:t>
      </w:r>
      <w:proofErr w:type="spellEnd"/>
      <w:r w:rsidRPr="00794D3C">
        <w:rPr>
          <w:rFonts w:ascii="Times New Roman" w:hAnsi="Times New Roman" w:cs="Times New Roman"/>
          <w:sz w:val="24"/>
          <w:szCs w:val="24"/>
          <w:lang w:val="en-US"/>
        </w:rPr>
        <w:t xml:space="preserve"> A.V., </w:t>
      </w:r>
      <w:proofErr w:type="spellStart"/>
      <w:r w:rsidRPr="00794D3C">
        <w:rPr>
          <w:rFonts w:ascii="Times New Roman" w:hAnsi="Times New Roman" w:cs="Times New Roman"/>
          <w:sz w:val="24"/>
          <w:szCs w:val="24"/>
          <w:lang w:val="en-US"/>
        </w:rPr>
        <w:t>Cheskidov</w:t>
      </w:r>
      <w:proofErr w:type="spellEnd"/>
      <w:r w:rsidRPr="00794D3C">
        <w:rPr>
          <w:rFonts w:ascii="Times New Roman" w:hAnsi="Times New Roman" w:cs="Times New Roman"/>
          <w:sz w:val="24"/>
          <w:szCs w:val="24"/>
          <w:lang w:val="en-US"/>
        </w:rPr>
        <w:t xml:space="preserve"> A.V., </w:t>
      </w:r>
      <w:proofErr w:type="spellStart"/>
      <w:r w:rsidRPr="00794D3C">
        <w:rPr>
          <w:rFonts w:ascii="Times New Roman" w:hAnsi="Times New Roman" w:cs="Times New Roman"/>
          <w:sz w:val="24"/>
          <w:szCs w:val="24"/>
          <w:lang w:val="en-US"/>
        </w:rPr>
        <w:t>Vulekh</w:t>
      </w:r>
      <w:proofErr w:type="spellEnd"/>
      <w:r w:rsidRPr="00794D3C">
        <w:rPr>
          <w:rFonts w:ascii="Times New Roman" w:hAnsi="Times New Roman" w:cs="Times New Roman"/>
          <w:sz w:val="24"/>
          <w:szCs w:val="24"/>
          <w:lang w:val="en-US"/>
        </w:rPr>
        <w:t xml:space="preserve"> V.M., </w:t>
      </w:r>
      <w:proofErr w:type="spellStart"/>
      <w:r w:rsidRPr="00794D3C">
        <w:rPr>
          <w:rFonts w:ascii="Times New Roman" w:hAnsi="Times New Roman" w:cs="Times New Roman"/>
          <w:sz w:val="24"/>
          <w:szCs w:val="24"/>
          <w:lang w:val="en-US"/>
        </w:rPr>
        <w:t>Filimonova</w:t>
      </w:r>
      <w:proofErr w:type="spellEnd"/>
      <w:r w:rsidRPr="00794D3C">
        <w:rPr>
          <w:rFonts w:ascii="Times New Roman" w:hAnsi="Times New Roman" w:cs="Times New Roman"/>
          <w:sz w:val="24"/>
          <w:szCs w:val="24"/>
          <w:lang w:val="en-US"/>
        </w:rPr>
        <w:t xml:space="preserve"> A. A. The role of cardiac adipose tissue depots in assessing the risk of paroxysmal atrial fibrillation in patients with coronary heart disease and arterial hypertension. International Journal of Heart and Vascular Diseases. 2023. 38 (11): 16-22. DOI: 10.2441</w:t>
      </w:r>
      <w:bookmarkStart w:id="0" w:name="_GoBack"/>
      <w:bookmarkEnd w:id="0"/>
      <w:r w:rsidRPr="00794D3C">
        <w:rPr>
          <w:rFonts w:ascii="Times New Roman" w:hAnsi="Times New Roman" w:cs="Times New Roman"/>
          <w:sz w:val="24"/>
          <w:szCs w:val="24"/>
          <w:lang w:val="en-US"/>
        </w:rPr>
        <w:t>2/2311-1623-2023-37-18-26</w:t>
      </w:r>
    </w:p>
    <w:sectPr w:rsidR="00794D3C" w:rsidRPr="00794D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753"/>
    <w:rsid w:val="00122437"/>
    <w:rsid w:val="00312753"/>
    <w:rsid w:val="00794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CABFF6-EDB6-4CB1-9B54-790D5CA4E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491</Words>
  <Characters>2802</Characters>
  <Application>Microsoft Office Word</Application>
  <DocSecurity>0</DocSecurity>
  <Lines>23</Lines>
  <Paragraphs>6</Paragraphs>
  <ScaleCrop>false</ScaleCrop>
  <Company/>
  <LinksUpToDate>false</LinksUpToDate>
  <CharactersWithSpaces>3287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Гиндуллина Татьяна Шамилевна</dc:creator>
  <cp:keywords/>
  <dc:description/>
  <cp:lastModifiedBy>Гиндуллина Татьяна Шамилевна</cp:lastModifiedBy>
  <cp:revision>2</cp:revision>
  <dcterms:created xsi:type="dcterms:W3CDTF">2025-07-01T11:44:00Z</dcterms:created>
  <dcterms:modified xsi:type="dcterms:W3CDTF">2025-07-01T11:52:00Z</dcterms:modified>
</cp:coreProperties>
</file>